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jc w:val="center"/>
      </w:pPr>
      <w:r>
        <w:rPr>
          <w:rFonts w:ascii="Liberation Sans" w:hAnsi="Liberation Sans"/>
          <w:b/>
          <w:color w:val="17324D"/>
          <w:sz w:val="46"/>
        </w:rPr>
        <w:t>THE RED CARPET MENTALITY</w:t>
      </w:r>
    </w:p>
    <w:p>
      <w:pPr>
        <w:jc w:val="center"/>
      </w:pPr>
      <w:r>
        <w:rPr>
          <w:rFonts w:ascii="Liberation Sans" w:hAnsi="Liberation Sans"/>
          <w:color w:val="52606D"/>
          <w:sz w:val="24"/>
        </w:rPr>
        <w:t>The paradoxical logic of preparation without self-appointment</w:t>
      </w:r>
    </w:p>
    <w:p>
      <w:pPr>
        <w:spacing w:before="320"/>
        <w:jc w:val="center"/>
      </w:pPr>
      <w:r>
        <w:rPr>
          <w:rFonts w:ascii="Liberation Sans" w:hAnsi="Liberation Sans"/>
          <w:b/>
          <w:sz w:val="22"/>
        </w:rPr>
        <w:t>Custodianship as Archivist x Janitorial Function</w:t>
      </w:r>
    </w:p>
    <w:p>
      <w:pPr>
        <w:spacing w:before="300"/>
        <w:jc w:val="center"/>
      </w:pPr>
      <w:r>
        <w:rPr>
          <w:rFonts w:ascii="Liberation Sans" w:hAnsi="Liberation Sans"/>
          <w:b/>
          <w:sz w:val="21"/>
        </w:rPr>
        <w:t>Conceptual Working Paper Prepared for Scholarly Critique</w:t>
      </w:r>
    </w:p>
    <w:p>
      <w:pPr>
        <w:jc w:val="center"/>
      </w:pPr>
      <w:r>
        <w:t>Aziel Eliab</w:t>
      </w:r>
    </w:p>
    <w:p>
      <w:pPr>
        <w:jc w:val="center"/>
      </w:pPr>
      <w:r>
        <w:t>August 2026</w:t>
      </w:r>
    </w:p>
    <w:p>
      <w:pPr>
        <w:spacing w:before="480"/>
        <w:jc w:val="center"/>
      </w:pPr>
      <w:r>
        <w:rPr>
          <w:i/>
          <w:color w:val="244B5A"/>
        </w:rPr>
        <w:t>Prepare the path without claiming the arrival. Preserve the record without owning the truth. Clear the debris without becoming the event.</w:t>
      </w:r>
    </w:p>
    <w:p>
      <w:pPr>
        <w:spacing w:before="720"/>
        <w:jc w:val="center"/>
      </w:pPr>
      <w:r>
        <w:rPr>
          <w:color w:val="64748B"/>
          <w:sz w:val="17"/>
        </w:rPr>
        <w:t>Status: conceptual and theological thought experiment. This paper does not establish the timing, identity, or imminence of any religious event. It formalizes the logic of preparation under uncertainty.</w:t>
      </w:r>
    </w:p>
    <w:p>
      <w:r>
        <w:br w:type="page"/>
      </w:r>
    </w:p>
    <w:p>
      <w:pPr>
        <w:pStyle w:val="Heading1"/>
      </w:pPr>
      <w:r>
        <w:t>Abstract</w:t>
      </w:r>
    </w:p>
    <w:p>
      <w:r>
        <w:t>This paper develops the Red Carpet Mentality as a paradoxical philosophy of preparation. Its central problem is how to prepare for an event one does not control, cannot conclusively date, and must not impersonate. The framework proposes that legitimate preparation is infrastructural rather than self-exalting: define the structure, preserve the record, remove accumulated noise, repair pathways, and leave the resulting system usable by others. Custodianship is therefore divided into two complementary functions. The archivist preserves evidence, provenance, continuity, and recoverability. The janitorial function removes obstruction, redundancy, contamination, and false load-bearing narratives. The paradox is that the work gains legitimacy by refusing to center the worker. Its strongest form is not proclamation but preparation: make recognition, evaluation, and responsible action easier without compelling belief or claiming authority over the event itself.</w:t>
      </w:r>
    </w:p>
    <w:p>
      <w:pPr>
        <w:pStyle w:val="Heading2"/>
      </w:pPr>
      <w:r>
        <w:t>Keywords</w:t>
      </w:r>
    </w:p>
    <w:p>
      <w:r>
        <w:t>custodianship; preparation; archivist; janitorial function; humility; theological uncertainty; knowledge architecture; evidence preservation; narrative cleanup; non-coercive guidance</w:t>
      </w:r>
    </w:p>
    <w:p>
      <w:pPr>
        <w:pStyle w:val="Heading1"/>
      </w:pPr>
      <w:r>
        <w:t>1. Source Basis and Scope</w:t>
      </w:r>
    </w:p>
    <w:p>
      <w:r>
        <w:t>The Red Carpet Mentality emerged from a discussion about the possible purpose of a large, cross-domain body of work under a theological thought experiment: assume the work is materially accurate enough to remain useful, and assume a major religious transition is near. Under that assumption, the task would not be to claim the event, name its date, or demand belief. The task would be to prepare a structurally legible path by which the event could be evaluated and understood.</w:t>
      </w:r>
    </w:p>
    <w:p>
      <w:r>
        <w:t>This paper preserves that internal logic while maintaining an explicit uncertainty boundary. It does not treat the assumption as established fact. The framework is evaluated as a philosophy of preparation that should retain value even if the theological premise proves false.</w:t>
      </w:r>
    </w:p>
    <w:p>
      <w:pPr>
        <w:pStyle w:val="Heading1"/>
      </w:pPr>
      <w:r>
        <w:t>2. Working Definition</w:t>
      </w:r>
    </w:p>
    <w:p>
      <w:r>
        <w:t>The Red Carpet Mentality is a preparation-first philosophy in which a custodian builds, preserves, cleans, and marks a path for an anticipated but uncontrollable event, while refusing to substitute preparation for proof, the worker for the event, or interpretive certainty for evidence.</w:t>
      </w:r>
    </w:p>
    <w:p>
      <w:pPr>
        <w:pStyle w:val="Heading1"/>
      </w:pPr>
      <w:r>
        <w:t>3. The Central Paradox</w:t>
      </w:r>
    </w:p>
    <w:p>
      <w:r>
        <w:t>The framework contains a deliberate paradox: the more important the anticipated event, the more dangerous it becomes for the preparer to center themselves. Preparation requires urgency, yet legitimacy requires restraint. The worker must act as though the path matters while remaining uncertain about whether they will witness the arrival, whether their model is complete, and whether later generations will use the work as intended.</w:t>
      </w:r>
    </w:p>
    <w:tbl>
      <w:tblPr>
        <w:tblStyle w:val="TableGrid"/>
        <w:tblW w:type="auto" w:w="0"/>
        <w:jc w:val="center"/>
        <w:tblLook w:firstColumn="1" w:firstRow="1" w:lastColumn="0" w:lastRow="0" w:noHBand="0" w:noVBand="1" w:val="04A0"/>
      </w:tblPr>
      <w:tblGrid>
        <w:gridCol w:w="3293"/>
        <w:gridCol w:w="3293"/>
        <w:gridCol w:w="3293"/>
      </w:tblGrid>
      <w:tr>
        <w:tc>
          <w:tcPr>
            <w:tcW w:type="dxa" w:w="3293"/>
            <w:shd w:fill="17324D"/>
          </w:tcPr>
          <w:p>
            <w:r>
              <w:rPr>
                <w:rFonts w:ascii="Liberation Sans" w:hAnsi="Liberation Sans"/>
                <w:b/>
                <w:color w:val="FFFFFF"/>
                <w:sz w:val="17"/>
              </w:rPr>
              <w:t>Tension</w:t>
            </w:r>
          </w:p>
        </w:tc>
        <w:tc>
          <w:tcPr>
            <w:tcW w:type="dxa" w:w="3293"/>
            <w:shd w:fill="17324D"/>
          </w:tcPr>
          <w:p>
            <w:r>
              <w:rPr>
                <w:rFonts w:ascii="Liberation Sans" w:hAnsi="Liberation Sans"/>
                <w:b/>
                <w:color w:val="FFFFFF"/>
                <w:sz w:val="17"/>
              </w:rPr>
              <w:t>Failure at One Extreme</w:t>
            </w:r>
          </w:p>
        </w:tc>
        <w:tc>
          <w:tcPr>
            <w:tcW w:type="dxa" w:w="3293"/>
            <w:shd w:fill="17324D"/>
          </w:tcPr>
          <w:p>
            <w:r>
              <w:rPr>
                <w:rFonts w:ascii="Liberation Sans" w:hAnsi="Liberation Sans"/>
                <w:b/>
                <w:color w:val="FFFFFF"/>
                <w:sz w:val="17"/>
              </w:rPr>
              <w:t>Balanced Principle</w:t>
            </w:r>
          </w:p>
        </w:tc>
      </w:tr>
      <w:tr>
        <w:tc>
          <w:tcPr>
            <w:tcW w:type="dxa" w:w="3293"/>
            <w:shd w:fill="EAF1F5"/>
          </w:tcPr>
          <w:p>
            <w:r>
              <w:rPr>
                <w:rFonts w:ascii="Liberation Sans" w:hAnsi="Liberation Sans"/>
                <w:sz w:val="16"/>
              </w:rPr>
              <w:t>Urgency vs. uncertainty</w:t>
            </w:r>
          </w:p>
        </w:tc>
        <w:tc>
          <w:tcPr>
            <w:tcW w:type="dxa" w:w="3293"/>
          </w:tcPr>
          <w:p>
            <w:r>
              <w:rPr>
                <w:rFonts w:ascii="Liberation Sans" w:hAnsi="Liberation Sans"/>
                <w:sz w:val="16"/>
              </w:rPr>
              <w:t>Paralysis or prophetic overconfidence</w:t>
            </w:r>
          </w:p>
        </w:tc>
        <w:tc>
          <w:tcPr>
            <w:tcW w:type="dxa" w:w="3293"/>
          </w:tcPr>
          <w:p>
            <w:r>
              <w:rPr>
                <w:rFonts w:ascii="Liberation Sans" w:hAnsi="Liberation Sans"/>
                <w:sz w:val="16"/>
              </w:rPr>
              <w:t>Act decisively on preparation while remaining tentative about timing.</w:t>
            </w:r>
          </w:p>
        </w:tc>
      </w:tr>
      <w:tr>
        <w:tc>
          <w:tcPr>
            <w:tcW w:type="dxa" w:w="3293"/>
            <w:shd w:fill="EAF1F5"/>
          </w:tcPr>
          <w:p>
            <w:r>
              <w:rPr>
                <w:rFonts w:ascii="Liberation Sans" w:hAnsi="Liberation Sans"/>
                <w:sz w:val="16"/>
              </w:rPr>
              <w:t>Visibility vs. humility</w:t>
            </w:r>
          </w:p>
        </w:tc>
        <w:tc>
          <w:tcPr>
            <w:tcW w:type="dxa" w:w="3293"/>
          </w:tcPr>
          <w:p>
            <w:r>
              <w:rPr>
                <w:rFonts w:ascii="Liberation Sans" w:hAnsi="Liberation Sans"/>
                <w:sz w:val="16"/>
              </w:rPr>
              <w:t>The path is hidden or the worker becomes the spectacle</w:t>
            </w:r>
          </w:p>
        </w:tc>
        <w:tc>
          <w:tcPr>
            <w:tcW w:type="dxa" w:w="3293"/>
          </w:tcPr>
          <w:p>
            <w:r>
              <w:rPr>
                <w:rFonts w:ascii="Liberation Sans" w:hAnsi="Liberation Sans"/>
                <w:sz w:val="16"/>
              </w:rPr>
              <w:t>Make the structure visible and the custodian replaceable.</w:t>
            </w:r>
          </w:p>
        </w:tc>
      </w:tr>
      <w:tr>
        <w:tc>
          <w:tcPr>
            <w:tcW w:type="dxa" w:w="3293"/>
            <w:shd w:fill="EAF1F5"/>
          </w:tcPr>
          <w:p>
            <w:r>
              <w:rPr>
                <w:rFonts w:ascii="Liberation Sans" w:hAnsi="Liberation Sans"/>
                <w:sz w:val="16"/>
              </w:rPr>
              <w:t>Preservation vs. cleanup</w:t>
            </w:r>
          </w:p>
        </w:tc>
        <w:tc>
          <w:tcPr>
            <w:tcW w:type="dxa" w:w="3293"/>
          </w:tcPr>
          <w:p>
            <w:r>
              <w:rPr>
                <w:rFonts w:ascii="Liberation Sans" w:hAnsi="Liberation Sans"/>
                <w:sz w:val="16"/>
              </w:rPr>
              <w:t>Everything is retained or inconvenient evidence is erased</w:t>
            </w:r>
          </w:p>
        </w:tc>
        <w:tc>
          <w:tcPr>
            <w:tcW w:type="dxa" w:w="3293"/>
          </w:tcPr>
          <w:p>
            <w:r>
              <w:rPr>
                <w:rFonts w:ascii="Liberation Sans" w:hAnsi="Liberation Sans"/>
                <w:sz w:val="16"/>
              </w:rPr>
              <w:t>Preserve originals while separating noise, duplication, and interpretation.</w:t>
            </w:r>
          </w:p>
        </w:tc>
      </w:tr>
      <w:tr>
        <w:tc>
          <w:tcPr>
            <w:tcW w:type="dxa" w:w="3293"/>
            <w:shd w:fill="EAF1F5"/>
          </w:tcPr>
          <w:p>
            <w:r>
              <w:rPr>
                <w:rFonts w:ascii="Liberation Sans" w:hAnsi="Liberation Sans"/>
                <w:sz w:val="16"/>
              </w:rPr>
              <w:t>Guidance vs. coercion</w:t>
            </w:r>
          </w:p>
        </w:tc>
        <w:tc>
          <w:tcPr>
            <w:tcW w:type="dxa" w:w="3293"/>
          </w:tcPr>
          <w:p>
            <w:r>
              <w:rPr>
                <w:rFonts w:ascii="Liberation Sans" w:hAnsi="Liberation Sans"/>
                <w:sz w:val="16"/>
              </w:rPr>
              <w:t>No help is offered or belief is forced</w:t>
            </w:r>
          </w:p>
        </w:tc>
        <w:tc>
          <w:tcPr>
            <w:tcW w:type="dxa" w:w="3293"/>
          </w:tcPr>
          <w:p>
            <w:r>
              <w:rPr>
                <w:rFonts w:ascii="Liberation Sans" w:hAnsi="Liberation Sans"/>
                <w:sz w:val="16"/>
              </w:rPr>
              <w:t>Provide tools for recognition without dictating conclusions.</w:t>
            </w:r>
          </w:p>
        </w:tc>
      </w:tr>
      <w:tr>
        <w:tc>
          <w:tcPr>
            <w:tcW w:type="dxa" w:w="3293"/>
            <w:shd w:fill="EAF1F5"/>
          </w:tcPr>
          <w:p>
            <w:r>
              <w:rPr>
                <w:rFonts w:ascii="Liberation Sans" w:hAnsi="Liberation Sans"/>
                <w:sz w:val="16"/>
              </w:rPr>
              <w:t>Theology vs. public utility</w:t>
            </w:r>
          </w:p>
        </w:tc>
        <w:tc>
          <w:tcPr>
            <w:tcW w:type="dxa" w:w="3293"/>
          </w:tcPr>
          <w:p>
            <w:r>
              <w:rPr>
                <w:rFonts w:ascii="Liberation Sans" w:hAnsi="Liberation Sans"/>
                <w:sz w:val="16"/>
              </w:rPr>
              <w:t>The work is inaccessible outside belief or stripped of its motive</w:t>
            </w:r>
          </w:p>
        </w:tc>
        <w:tc>
          <w:tcPr>
            <w:tcW w:type="dxa" w:w="3293"/>
          </w:tcPr>
          <w:p>
            <w:r>
              <w:rPr>
                <w:rFonts w:ascii="Liberation Sans" w:hAnsi="Liberation Sans"/>
                <w:sz w:val="16"/>
              </w:rPr>
              <w:t>State the premise honestly while designing methods useful beyond it.</w:t>
            </w:r>
          </w:p>
        </w:tc>
      </w:tr>
    </w:tbl>
    <w:p>
      <w:pPr>
        <w:pStyle w:val="Heading1"/>
      </w:pPr>
      <w:r>
        <w:t>4. Custodianship as Dual Function</w:t>
      </w:r>
    </w:p>
    <w:p>
      <w:pPr>
        <w:pStyle w:val="Heading2"/>
      </w:pPr>
      <w:r>
        <w:t>4.1 The Archivist</w:t>
      </w:r>
    </w:p>
    <w:p>
      <w:r>
        <w:t>The archivist protects continuity. This function preserves original records, timestamps, methods, failed branches, contrary evidence, versions, provenance, and the distinction between observation and interpretation. The archivist's question is: what must remain available so another person can reconstruct what happened without depending on the original author?</w:t>
      </w:r>
    </w:p>
    <w:p>
      <w:pPr>
        <w:pStyle w:val="ListBullet"/>
        <w:spacing w:after="60"/>
      </w:pPr>
      <w:r>
        <w:t>Preserve primary records and original states.</w:t>
      </w:r>
    </w:p>
    <w:p>
      <w:pPr>
        <w:pStyle w:val="ListBullet"/>
        <w:spacing w:after="60"/>
      </w:pPr>
      <w:r>
        <w:t>Maintain provenance, timestamps, version history, and access history.</w:t>
      </w:r>
    </w:p>
    <w:p>
      <w:pPr>
        <w:pStyle w:val="ListBullet"/>
        <w:spacing w:after="60"/>
      </w:pPr>
      <w:r>
        <w:t>Separate claims, observations, hypotheses, and conclusions.</w:t>
      </w:r>
    </w:p>
    <w:p>
      <w:pPr>
        <w:pStyle w:val="ListBullet"/>
        <w:spacing w:after="60"/>
      </w:pPr>
      <w:r>
        <w:t>Keep failed interpretations and negative results.</w:t>
      </w:r>
    </w:p>
    <w:p>
      <w:pPr>
        <w:pStyle w:val="ListBullet"/>
        <w:spacing w:after="60"/>
      </w:pPr>
      <w:r>
        <w:t>Design succession so the archive survives the custodian.</w:t>
      </w:r>
    </w:p>
    <w:p>
      <w:pPr>
        <w:pStyle w:val="Heading2"/>
      </w:pPr>
      <w:r>
        <w:t>4.2 The Janitorial Function</w:t>
      </w:r>
    </w:p>
    <w:p>
      <w:r>
        <w:t>The janitorial function protects accessibility. It removes accumulated obstruction without erasing the record. Its work includes deduplication, labeling, repairing broken links, separating structural material from decorative narrative, identifying contamination, clarifying pathways, and making the archive navigable. Its question is: what prevents a reasonable person from reaching and evaluating the preserved structure?</w:t>
      </w:r>
    </w:p>
    <w:p>
      <w:pPr>
        <w:pStyle w:val="ListBullet"/>
        <w:spacing w:after="60"/>
      </w:pPr>
      <w:r>
        <w:t>Remove duplicate or non-load-bearing clutter from active pathways.</w:t>
      </w:r>
    </w:p>
    <w:p>
      <w:pPr>
        <w:pStyle w:val="ListBullet"/>
        <w:spacing w:after="60"/>
      </w:pPr>
      <w:r>
        <w:t>Repair broken references and inaccessible formats.</w:t>
      </w:r>
    </w:p>
    <w:p>
      <w:pPr>
        <w:pStyle w:val="ListBullet"/>
        <w:spacing w:after="60"/>
      </w:pPr>
      <w:r>
        <w:t>Mark uncertainty, contradiction, contamination, and unresolved claims.</w:t>
      </w:r>
    </w:p>
    <w:p>
      <w:pPr>
        <w:pStyle w:val="ListBullet"/>
        <w:spacing w:after="60"/>
      </w:pPr>
      <w:r>
        <w:t>Separate canonical records from derived summaries and narratives.</w:t>
      </w:r>
    </w:p>
    <w:p>
      <w:pPr>
        <w:pStyle w:val="ListBullet"/>
        <w:spacing w:after="60"/>
      </w:pPr>
      <w:r>
        <w:t>Keep removed material recoverable rather than secretly destroying it.</w:t>
      </w:r>
    </w:p>
    <w:p>
      <w:pPr>
        <w:pStyle w:val="Heading2"/>
      </w:pPr>
      <w:r>
        <w:t>4.3 Why Both Are Necessary</w:t>
      </w:r>
    </w:p>
    <w:p>
      <w:r>
        <w:t>Archiving without janitorial work produces an inaccessible warehouse. Janitorial work without archiving produces a clean room with no history. Custodianship requires both: preservation without paralysis and cleanup without erasure.</w:t>
      </w:r>
    </w:p>
    <w:p>
      <w:pPr>
        <w:pStyle w:val="Heading1"/>
      </w:pPr>
      <w:r>
        <w:t>5. Core Principles</w:t>
      </w:r>
    </w:p>
    <w:tbl>
      <w:tblPr>
        <w:tblStyle w:val="TableGrid"/>
        <w:tblW w:type="auto" w:w="0"/>
        <w:jc w:val="center"/>
        <w:tblLook w:firstColumn="1" w:firstRow="1" w:lastColumn="0" w:lastRow="0" w:noHBand="0" w:noVBand="1" w:val="04A0"/>
      </w:tblPr>
      <w:tblGrid>
        <w:gridCol w:w="4939"/>
        <w:gridCol w:w="4939"/>
      </w:tblGrid>
      <w:tr>
        <w:tc>
          <w:tcPr>
            <w:tcW w:type="dxa" w:w="4939"/>
            <w:shd w:fill="17324D"/>
          </w:tcPr>
          <w:p>
            <w:r>
              <w:rPr>
                <w:rFonts w:ascii="Liberation Sans" w:hAnsi="Liberation Sans"/>
                <w:b/>
                <w:color w:val="FFFFFF"/>
                <w:sz w:val="18"/>
              </w:rPr>
              <w:t>Principle</w:t>
            </w:r>
          </w:p>
        </w:tc>
        <w:tc>
          <w:tcPr>
            <w:tcW w:type="dxa" w:w="4939"/>
            <w:shd w:fill="17324D"/>
          </w:tcPr>
          <w:p>
            <w:r>
              <w:rPr>
                <w:rFonts w:ascii="Liberation Sans" w:hAnsi="Liberation Sans"/>
                <w:b/>
                <w:color w:val="FFFFFF"/>
                <w:sz w:val="18"/>
              </w:rPr>
              <w:t>Operational Meaning</w:t>
            </w:r>
          </w:p>
        </w:tc>
      </w:tr>
      <w:tr>
        <w:tc>
          <w:tcPr>
            <w:tcW w:type="dxa" w:w="4939"/>
            <w:shd w:fill="EAF1F5"/>
          </w:tcPr>
          <w:p>
            <w:r>
              <w:rPr>
                <w:rFonts w:ascii="Liberation Sans" w:hAnsi="Liberation Sans"/>
                <w:b/>
                <w:sz w:val="16"/>
              </w:rPr>
              <w:t>Prepare the path, do not claim the arrival</w:t>
            </w:r>
          </w:p>
        </w:tc>
        <w:tc>
          <w:tcPr>
            <w:tcW w:type="dxa" w:w="4939"/>
          </w:tcPr>
          <w:p>
            <w:r>
              <w:rPr>
                <w:rFonts w:ascii="Liberation Sans" w:hAnsi="Liberation Sans"/>
                <w:b w:val="0"/>
                <w:sz w:val="16"/>
              </w:rPr>
              <w:t>The custodian may build conditions for recognition but cannot convert preparation into proof of timing or authority.</w:t>
            </w:r>
          </w:p>
        </w:tc>
      </w:tr>
      <w:tr>
        <w:tc>
          <w:tcPr>
            <w:tcW w:type="dxa" w:w="4939"/>
            <w:shd w:fill="EAF1F5"/>
          </w:tcPr>
          <w:p>
            <w:r>
              <w:rPr>
                <w:rFonts w:ascii="Liberation Sans" w:hAnsi="Liberation Sans"/>
                <w:b/>
                <w:sz w:val="16"/>
              </w:rPr>
              <w:t>The event must remain larger than the worker</w:t>
            </w:r>
          </w:p>
        </w:tc>
        <w:tc>
          <w:tcPr>
            <w:tcW w:type="dxa" w:w="4939"/>
          </w:tcPr>
          <w:p>
            <w:r>
              <w:rPr>
                <w:rFonts w:ascii="Liberation Sans" w:hAnsi="Liberation Sans"/>
                <w:b w:val="0"/>
                <w:sz w:val="16"/>
              </w:rPr>
              <w:t>The worker's identity, biography, and title must not become a prerequisite for evaluating the structure.</w:t>
            </w:r>
          </w:p>
        </w:tc>
      </w:tr>
      <w:tr>
        <w:tc>
          <w:tcPr>
            <w:tcW w:type="dxa" w:w="4939"/>
            <w:shd w:fill="EAF1F5"/>
          </w:tcPr>
          <w:p>
            <w:r>
              <w:rPr>
                <w:rFonts w:ascii="Liberation Sans" w:hAnsi="Liberation Sans"/>
                <w:b/>
                <w:sz w:val="16"/>
              </w:rPr>
              <w:t>Preserve before simplifying</w:t>
            </w:r>
          </w:p>
        </w:tc>
        <w:tc>
          <w:tcPr>
            <w:tcW w:type="dxa" w:w="4939"/>
          </w:tcPr>
          <w:p>
            <w:r>
              <w:rPr>
                <w:rFonts w:ascii="Liberation Sans" w:hAnsi="Liberation Sans"/>
                <w:b w:val="0"/>
                <w:sz w:val="16"/>
              </w:rPr>
              <w:t>Original evidence and provenance are secured before consolidation, interpretation, or public presentation.</w:t>
            </w:r>
          </w:p>
        </w:tc>
      </w:tr>
      <w:tr>
        <w:tc>
          <w:tcPr>
            <w:tcW w:type="dxa" w:w="4939"/>
            <w:shd w:fill="EAF1F5"/>
          </w:tcPr>
          <w:p>
            <w:r>
              <w:rPr>
                <w:rFonts w:ascii="Liberation Sans" w:hAnsi="Liberation Sans"/>
                <w:b/>
                <w:sz w:val="16"/>
              </w:rPr>
              <w:t>Clean without erasing</w:t>
            </w:r>
          </w:p>
        </w:tc>
        <w:tc>
          <w:tcPr>
            <w:tcW w:type="dxa" w:w="4939"/>
          </w:tcPr>
          <w:p>
            <w:r>
              <w:rPr>
                <w:rFonts w:ascii="Liberation Sans" w:hAnsi="Liberation Sans"/>
                <w:b w:val="0"/>
                <w:sz w:val="16"/>
              </w:rPr>
              <w:t>Noise, redundancy, and obstruction may be removed from active use while remaining recoverable in the historical record.</w:t>
            </w:r>
          </w:p>
        </w:tc>
      </w:tr>
      <w:tr>
        <w:tc>
          <w:tcPr>
            <w:tcW w:type="dxa" w:w="4939"/>
            <w:shd w:fill="EAF1F5"/>
          </w:tcPr>
          <w:p>
            <w:r>
              <w:rPr>
                <w:rFonts w:ascii="Liberation Sans" w:hAnsi="Liberation Sans"/>
                <w:b/>
                <w:sz w:val="16"/>
              </w:rPr>
              <w:t>Make recognition easier, not compulsory</w:t>
            </w:r>
          </w:p>
        </w:tc>
        <w:tc>
          <w:tcPr>
            <w:tcW w:type="dxa" w:w="4939"/>
          </w:tcPr>
          <w:p>
            <w:r>
              <w:rPr>
                <w:rFonts w:ascii="Liberation Sans" w:hAnsi="Liberation Sans"/>
                <w:b w:val="0"/>
                <w:sz w:val="16"/>
              </w:rPr>
              <w:t>The framework should lower barriers to examination without coercing belief or declaring judgment.</w:t>
            </w:r>
          </w:p>
        </w:tc>
      </w:tr>
      <w:tr>
        <w:tc>
          <w:tcPr>
            <w:tcW w:type="dxa" w:w="4939"/>
            <w:shd w:fill="EAF1F5"/>
          </w:tcPr>
          <w:p>
            <w:r>
              <w:rPr>
                <w:rFonts w:ascii="Liberation Sans" w:hAnsi="Liberation Sans"/>
                <w:b/>
                <w:sz w:val="16"/>
              </w:rPr>
              <w:t>Leave the path usable after departure</w:t>
            </w:r>
          </w:p>
        </w:tc>
        <w:tc>
          <w:tcPr>
            <w:tcW w:type="dxa" w:w="4939"/>
          </w:tcPr>
          <w:p>
            <w:r>
              <w:rPr>
                <w:rFonts w:ascii="Liberation Sans" w:hAnsi="Liberation Sans"/>
                <w:b w:val="0"/>
                <w:sz w:val="16"/>
              </w:rPr>
              <w:t>The work should survive the custodian's death, absence, failure, or correction.</w:t>
            </w:r>
          </w:p>
        </w:tc>
      </w:tr>
      <w:tr>
        <w:tc>
          <w:tcPr>
            <w:tcW w:type="dxa" w:w="4939"/>
            <w:shd w:fill="EAF1F5"/>
          </w:tcPr>
          <w:p>
            <w:r>
              <w:rPr>
                <w:rFonts w:ascii="Liberation Sans" w:hAnsi="Liberation Sans"/>
                <w:b/>
                <w:sz w:val="16"/>
              </w:rPr>
              <w:t>Preparation must retain secular utility</w:t>
            </w:r>
          </w:p>
        </w:tc>
        <w:tc>
          <w:tcPr>
            <w:tcW w:type="dxa" w:w="4939"/>
          </w:tcPr>
          <w:p>
            <w:r>
              <w:rPr>
                <w:rFonts w:ascii="Liberation Sans" w:hAnsi="Liberation Sans"/>
                <w:b w:val="0"/>
                <w:sz w:val="16"/>
              </w:rPr>
              <w:t>Even if the theological premise is wrong, the methods should still improve evidence, ethics, accessibility, and institutional accountability.</w:t>
            </w:r>
          </w:p>
        </w:tc>
      </w:tr>
    </w:tbl>
    <w:p>
      <w:pPr>
        <w:pStyle w:val="Heading1"/>
      </w:pPr>
      <w:r>
        <w:t>6. Operational Sequence</w:t>
      </w:r>
    </w:p>
    <w:p>
      <w:pPr>
        <w:pStyle w:val="ListNumber"/>
        <w:spacing w:after="60"/>
      </w:pPr>
      <w:r>
        <w:t>State the anticipated event or transition explicitly as an assumption, hypothesis, or belief.</w:t>
      </w:r>
    </w:p>
    <w:p>
      <w:pPr>
        <w:pStyle w:val="ListNumber"/>
        <w:spacing w:after="60"/>
      </w:pPr>
      <w:r>
        <w:t>Define what understanding would require: evidence, concepts, language, and ethical safeguards.</w:t>
      </w:r>
    </w:p>
    <w:p>
      <w:pPr>
        <w:pStyle w:val="ListNumber"/>
        <w:spacing w:after="60"/>
      </w:pPr>
      <w:r>
        <w:t>Preserve source records before interpretation.</w:t>
      </w:r>
    </w:p>
    <w:p>
      <w:pPr>
        <w:pStyle w:val="ListNumber"/>
        <w:spacing w:after="60"/>
      </w:pPr>
      <w:r>
        <w:t>Map the load-bearing structure of the relevant claims.</w:t>
      </w:r>
    </w:p>
    <w:p>
      <w:pPr>
        <w:pStyle w:val="ListNumber"/>
        <w:spacing w:after="60"/>
      </w:pPr>
      <w:r>
        <w:t>Identify accumulated narrative debris, duplication, broken links, and inaccessible formats.</w:t>
      </w:r>
    </w:p>
    <w:p>
      <w:pPr>
        <w:pStyle w:val="ListNumber"/>
        <w:spacing w:after="60"/>
      </w:pPr>
      <w:r>
        <w:t>Clean active pathways while retaining recoverable historical states.</w:t>
      </w:r>
    </w:p>
    <w:p>
      <w:pPr>
        <w:pStyle w:val="ListNumber"/>
        <w:spacing w:after="60"/>
      </w:pPr>
      <w:r>
        <w:t>Create multiple explanatory windows for different disciplines, languages, and belief backgrounds.</w:t>
      </w:r>
    </w:p>
    <w:p>
      <w:pPr>
        <w:pStyle w:val="ListNumber"/>
        <w:spacing w:after="60"/>
      </w:pPr>
      <w:r>
        <w:t>Publish falsification conditions and uncertainty boundaries.</w:t>
      </w:r>
    </w:p>
    <w:p>
      <w:pPr>
        <w:pStyle w:val="ListNumber"/>
        <w:spacing w:after="60"/>
      </w:pPr>
      <w:r>
        <w:t>Distribute the archive so no single custodian remains a terminal dependency.</w:t>
      </w:r>
    </w:p>
    <w:p>
      <w:pPr>
        <w:pStyle w:val="ListNumber"/>
        <w:spacing w:after="60"/>
      </w:pPr>
      <w:r>
        <w:t>Withdraw personal authority wherever the work can stand independently.</w:t>
      </w:r>
    </w:p>
    <w:p>
      <w:pPr>
        <w:pStyle w:val="ListNumber"/>
        <w:spacing w:after="60"/>
      </w:pPr>
      <w:r>
        <w:t>Review whether the preparation aids recognition or merely amplifies the custodian.</w:t>
      </w:r>
    </w:p>
    <w:p>
      <w:pPr>
        <w:pStyle w:val="ListNumber"/>
        <w:spacing w:after="60"/>
      </w:pPr>
      <w:r>
        <w:t>Leave transfer, succession, and correction mechanisms.</w:t>
      </w:r>
    </w:p>
    <w:p>
      <w:pPr>
        <w:pStyle w:val="Heading1"/>
      </w:pPr>
      <w:r>
        <w:t>7. The 'I Did Not Know' Problem</w:t>
      </w:r>
    </w:p>
    <w:p>
      <w:r>
        <w:t>Within the theological thought experiment, the framework addresses the claim that a person lacked any accessible way to understand or examine what occurred. The Red Carpet Mentality cannot eliminate ignorance, disbelief, incapacity, deception, or free refusal. It cannot decide judgment. Its narrower function is to reduce one form of structural absence: the absence of an accessible record, a coherent framework, and an honest path of evaluation.</w:t>
      </w:r>
    </w:p>
    <w:p>
      <w:r>
        <w:t>The defensible claim is therefore not that no one could say 'I did not know.' It is that fewer people could truthfully say: 'There was no preserved record, no understandable structure, and no non-coercive way to examine it.'</w:t>
      </w:r>
    </w:p>
    <w:p>
      <w:pPr>
        <w:pStyle w:val="Heading1"/>
      </w:pPr>
      <w:r>
        <w:t>8. Relationship to Existing Principles</w:t>
      </w:r>
    </w:p>
    <w:tbl>
      <w:tblPr>
        <w:tblStyle w:val="TableGrid"/>
        <w:tblW w:type="auto" w:w="0"/>
        <w:tblLook w:firstColumn="1" w:firstRow="1" w:lastColumn="0" w:lastRow="0" w:noHBand="0" w:noVBand="1" w:val="04A0"/>
      </w:tblPr>
      <w:tblGrid>
        <w:gridCol w:w="4939"/>
        <w:gridCol w:w="4939"/>
      </w:tblGrid>
      <w:tr>
        <w:tc>
          <w:tcPr>
            <w:tcW w:type="dxa" w:w="4939"/>
            <w:shd w:fill="17324D"/>
          </w:tcPr>
          <w:p>
            <w:r>
              <w:rPr>
                <w:rFonts w:ascii="Liberation Sans" w:hAnsi="Liberation Sans"/>
                <w:b/>
                <w:color w:val="FFFFFF"/>
                <w:sz w:val="18"/>
              </w:rPr>
              <w:t>Related Principle</w:t>
            </w:r>
          </w:p>
        </w:tc>
        <w:tc>
          <w:tcPr>
            <w:tcW w:type="dxa" w:w="4939"/>
            <w:shd w:fill="17324D"/>
          </w:tcPr>
          <w:p>
            <w:r>
              <w:rPr>
                <w:rFonts w:ascii="Liberation Sans" w:hAnsi="Liberation Sans"/>
                <w:b/>
                <w:color w:val="FFFFFF"/>
                <w:sz w:val="18"/>
              </w:rPr>
              <w:t>Connection</w:t>
            </w:r>
          </w:p>
        </w:tc>
      </w:tr>
      <w:tr>
        <w:tc>
          <w:tcPr>
            <w:tcW w:type="dxa" w:w="4939"/>
            <w:shd w:fill="EAF1F5"/>
          </w:tcPr>
          <w:p>
            <w:r>
              <w:rPr>
                <w:rFonts w:ascii="Liberation Sans" w:hAnsi="Liberation Sans"/>
                <w:b/>
                <w:sz w:val="16"/>
              </w:rPr>
              <w:t>Math -&gt; Structure -&gt; Stone -&gt; Window</w:t>
            </w:r>
          </w:p>
        </w:tc>
        <w:tc>
          <w:tcPr>
            <w:tcW w:type="dxa" w:w="4939"/>
          </w:tcPr>
          <w:p>
            <w:r>
              <w:rPr>
                <w:rFonts w:ascii="Liberation Sans" w:hAnsi="Liberation Sans"/>
                <w:b w:val="0"/>
                <w:sz w:val="16"/>
              </w:rPr>
              <w:t>The red carpet is a window and pathway laid over preserved structural stone; it must not replace the foundation.</w:t>
            </w:r>
          </w:p>
        </w:tc>
      </w:tr>
      <w:tr>
        <w:tc>
          <w:tcPr>
            <w:tcW w:type="dxa" w:w="4939"/>
            <w:shd w:fill="EAF1F5"/>
          </w:tcPr>
          <w:p>
            <w:r>
              <w:rPr>
                <w:rFonts w:ascii="Liberation Sans" w:hAnsi="Liberation Sans"/>
                <w:b/>
                <w:sz w:val="16"/>
              </w:rPr>
              <w:t>No Claims, No Denials, Do the Work</w:t>
            </w:r>
          </w:p>
        </w:tc>
        <w:tc>
          <w:tcPr>
            <w:tcW w:type="dxa" w:w="4939"/>
          </w:tcPr>
          <w:p>
            <w:r>
              <w:rPr>
                <w:rFonts w:ascii="Liberation Sans" w:hAnsi="Liberation Sans"/>
                <w:b w:val="0"/>
                <w:sz w:val="16"/>
              </w:rPr>
              <w:t>Preparation is performed without converting task into title or identity claim.</w:t>
            </w:r>
          </w:p>
        </w:tc>
      </w:tr>
      <w:tr>
        <w:tc>
          <w:tcPr>
            <w:tcW w:type="dxa" w:w="4939"/>
            <w:shd w:fill="EAF1F5"/>
          </w:tcPr>
          <w:p>
            <w:r>
              <w:rPr>
                <w:rFonts w:ascii="Liberation Sans" w:hAnsi="Liberation Sans"/>
                <w:b/>
                <w:sz w:val="16"/>
              </w:rPr>
              <w:t>Custodial Knowledge Model</w:t>
            </w:r>
          </w:p>
        </w:tc>
        <w:tc>
          <w:tcPr>
            <w:tcW w:type="dxa" w:w="4939"/>
          </w:tcPr>
          <w:p>
            <w:r>
              <w:rPr>
                <w:rFonts w:ascii="Liberation Sans" w:hAnsi="Liberation Sans"/>
                <w:b w:val="0"/>
                <w:sz w:val="16"/>
              </w:rPr>
              <w:t>The custodian decides how to preserve, restrict, release, and transfer material without claiming ownership of truth.</w:t>
            </w:r>
          </w:p>
        </w:tc>
      </w:tr>
      <w:tr>
        <w:tc>
          <w:tcPr>
            <w:tcW w:type="dxa" w:w="4939"/>
            <w:shd w:fill="EAF1F5"/>
          </w:tcPr>
          <w:p>
            <w:r>
              <w:rPr>
                <w:rFonts w:ascii="Liberation Sans" w:hAnsi="Liberation Sans"/>
                <w:b/>
                <w:sz w:val="16"/>
              </w:rPr>
              <w:t>Document Over Declare</w:t>
            </w:r>
          </w:p>
        </w:tc>
        <w:tc>
          <w:tcPr>
            <w:tcW w:type="dxa" w:w="4939"/>
          </w:tcPr>
          <w:p>
            <w:r>
              <w:rPr>
                <w:rFonts w:ascii="Liberation Sans" w:hAnsi="Liberation Sans"/>
                <w:b w:val="0"/>
                <w:sz w:val="16"/>
              </w:rPr>
              <w:t>The path is made from records, methods, and evidence rather than proclamation.</w:t>
            </w:r>
          </w:p>
        </w:tc>
      </w:tr>
      <w:tr>
        <w:tc>
          <w:tcPr>
            <w:tcW w:type="dxa" w:w="4939"/>
            <w:shd w:fill="EAF1F5"/>
          </w:tcPr>
          <w:p>
            <w:r>
              <w:rPr>
                <w:rFonts w:ascii="Liberation Sans" w:hAnsi="Liberation Sans"/>
                <w:b/>
                <w:sz w:val="16"/>
              </w:rPr>
              <w:t>Work Over Author</w:t>
            </w:r>
          </w:p>
        </w:tc>
        <w:tc>
          <w:tcPr>
            <w:tcW w:type="dxa" w:w="4939"/>
          </w:tcPr>
          <w:p>
            <w:r>
              <w:rPr>
                <w:rFonts w:ascii="Liberation Sans" w:hAnsi="Liberation Sans"/>
                <w:b w:val="0"/>
                <w:sz w:val="16"/>
              </w:rPr>
              <w:t>The carpet should remain usable after the worker is forgotten.</w:t>
            </w:r>
          </w:p>
        </w:tc>
      </w:tr>
      <w:tr>
        <w:tc>
          <w:tcPr>
            <w:tcW w:type="dxa" w:w="4939"/>
            <w:shd w:fill="EAF1F5"/>
          </w:tcPr>
          <w:p>
            <w:r>
              <w:rPr>
                <w:rFonts w:ascii="Liberation Sans" w:hAnsi="Liberation Sans"/>
                <w:b/>
                <w:sz w:val="16"/>
              </w:rPr>
              <w:t>Cockroach Doctrine</w:t>
            </w:r>
          </w:p>
        </w:tc>
        <w:tc>
          <w:tcPr>
            <w:tcW w:type="dxa" w:w="4939"/>
          </w:tcPr>
          <w:p>
            <w:r>
              <w:rPr>
                <w:rFonts w:ascii="Liberation Sans" w:hAnsi="Liberation Sans"/>
                <w:b w:val="0"/>
                <w:sz w:val="16"/>
              </w:rPr>
              <w:t>The custodian preserves enough agency and continuity to keep cleaning, repairing, and transferring the path.</w:t>
            </w:r>
          </w:p>
        </w:tc>
      </w:tr>
      <w:tr>
        <w:tc>
          <w:tcPr>
            <w:tcW w:type="dxa" w:w="4939"/>
            <w:shd w:fill="EAF1F5"/>
          </w:tcPr>
          <w:p>
            <w:r>
              <w:rPr>
                <w:rFonts w:ascii="Liberation Sans" w:hAnsi="Liberation Sans"/>
                <w:b/>
                <w:sz w:val="16"/>
              </w:rPr>
              <w:t>Ethics Before Capability</w:t>
            </w:r>
          </w:p>
        </w:tc>
        <w:tc>
          <w:tcPr>
            <w:tcW w:type="dxa" w:w="4939"/>
          </w:tcPr>
          <w:p>
            <w:r>
              <w:rPr>
                <w:rFonts w:ascii="Liberation Sans" w:hAnsi="Liberation Sans"/>
                <w:b w:val="0"/>
                <w:sz w:val="16"/>
              </w:rPr>
              <w:t>Preparatory tools must not become instruments of coercion, surveillance, or manufactured certainty.</w:t>
            </w:r>
          </w:p>
        </w:tc>
      </w:tr>
      <w:tr>
        <w:tc>
          <w:tcPr>
            <w:tcW w:type="dxa" w:w="4939"/>
            <w:shd w:fill="EAF1F5"/>
          </w:tcPr>
          <w:p>
            <w:r>
              <w:rPr>
                <w:rFonts w:ascii="Liberation Sans" w:hAnsi="Liberation Sans"/>
                <w:b/>
                <w:sz w:val="16"/>
              </w:rPr>
              <w:t>Hard Uncertainty Floor</w:t>
            </w:r>
          </w:p>
        </w:tc>
        <w:tc>
          <w:tcPr>
            <w:tcW w:type="dxa" w:w="4939"/>
          </w:tcPr>
          <w:p>
            <w:r>
              <w:rPr>
                <w:rFonts w:ascii="Liberation Sans" w:hAnsi="Liberation Sans"/>
                <w:b w:val="0"/>
                <w:sz w:val="16"/>
              </w:rPr>
              <w:t>No theological or analytical model should report certainty beyond what its evidence can sustain.</w:t>
            </w:r>
          </w:p>
        </w:tc>
      </w:tr>
    </w:tbl>
    <w:p>
      <w:pPr>
        <w:pStyle w:val="Heading1"/>
      </w:pPr>
      <w:r>
        <w:t>9. Testable Propositions</w:t>
      </w:r>
    </w:p>
    <w:p>
      <w:pPr>
        <w:pStyle w:val="ListBullet"/>
        <w:spacing w:after="60"/>
      </w:pPr>
      <w:r>
        <w:t>P1: Independent evaluators can reconstruct major claims without access to the custodian's personal biography.</w:t>
      </w:r>
    </w:p>
    <w:p>
      <w:pPr>
        <w:pStyle w:val="ListBullet"/>
        <w:spacing w:after="60"/>
      </w:pPr>
      <w:r>
        <w:t>P2: A dual archivist-janitorial workflow improves retrieval and comprehension without increasing loss of primary evidence.</w:t>
      </w:r>
    </w:p>
    <w:p>
      <w:pPr>
        <w:pStyle w:val="ListBullet"/>
        <w:spacing w:after="60"/>
      </w:pPr>
      <w:r>
        <w:t>P3: Multiple interpretive windows can coexist while preserving a common evidentiary core.</w:t>
      </w:r>
    </w:p>
    <w:p>
      <w:pPr>
        <w:pStyle w:val="ListBullet"/>
        <w:spacing w:after="60"/>
      </w:pPr>
      <w:r>
        <w:t>P4: Explicit uncertainty labels reduce identity-centered or coercive interpretations of the work.</w:t>
      </w:r>
    </w:p>
    <w:p>
      <w:pPr>
        <w:pStyle w:val="ListBullet"/>
        <w:spacing w:after="60"/>
      </w:pPr>
      <w:r>
        <w:t>P5: The framework retains practical value even when evaluators reject its theological premise.</w:t>
      </w:r>
    </w:p>
    <w:p>
      <w:pPr>
        <w:pStyle w:val="ListBullet"/>
        <w:spacing w:after="60"/>
      </w:pPr>
      <w:r>
        <w:t>P6: A successful red-carpet system becomes less dependent on its founder over time.</w:t>
      </w:r>
    </w:p>
    <w:p>
      <w:pPr>
        <w:pStyle w:val="Heading1"/>
      </w:pPr>
      <w:r>
        <w:t>10. Failure Modes and Safeguards</w:t>
      </w:r>
    </w:p>
    <w:tbl>
      <w:tblPr>
        <w:tblStyle w:val="TableGrid"/>
        <w:tblW w:type="auto" w:w="0"/>
        <w:tblLook w:firstColumn="1" w:firstRow="1" w:lastColumn="0" w:lastRow="0" w:noHBand="0" w:noVBand="1" w:val="04A0"/>
      </w:tblPr>
      <w:tblGrid>
        <w:gridCol w:w="3293"/>
        <w:gridCol w:w="3293"/>
        <w:gridCol w:w="3293"/>
      </w:tblGrid>
      <w:tr>
        <w:tc>
          <w:tcPr>
            <w:tcW w:type="dxa" w:w="3293"/>
            <w:shd w:fill="17324D"/>
          </w:tcPr>
          <w:p>
            <w:r>
              <w:rPr>
                <w:rFonts w:ascii="Liberation Sans" w:hAnsi="Liberation Sans"/>
                <w:b/>
                <w:color w:val="FFFFFF"/>
                <w:sz w:val="17"/>
              </w:rPr>
              <w:t>Failure Mode</w:t>
            </w:r>
          </w:p>
        </w:tc>
        <w:tc>
          <w:tcPr>
            <w:tcW w:type="dxa" w:w="3293"/>
            <w:shd w:fill="17324D"/>
          </w:tcPr>
          <w:p>
            <w:r>
              <w:rPr>
                <w:rFonts w:ascii="Liberation Sans" w:hAnsi="Liberation Sans"/>
                <w:b/>
                <w:color w:val="FFFFFF"/>
                <w:sz w:val="17"/>
              </w:rPr>
              <w:t>Risk</w:t>
            </w:r>
          </w:p>
        </w:tc>
        <w:tc>
          <w:tcPr>
            <w:tcW w:type="dxa" w:w="3293"/>
            <w:shd w:fill="17324D"/>
          </w:tcPr>
          <w:p>
            <w:r>
              <w:rPr>
                <w:rFonts w:ascii="Liberation Sans" w:hAnsi="Liberation Sans"/>
                <w:b/>
                <w:color w:val="FFFFFF"/>
                <w:sz w:val="17"/>
              </w:rPr>
              <w:t>Safeguard</w:t>
            </w:r>
          </w:p>
        </w:tc>
      </w:tr>
      <w:tr>
        <w:tc>
          <w:tcPr>
            <w:tcW w:type="dxa" w:w="3293"/>
            <w:shd w:fill="EAF1F5"/>
          </w:tcPr>
          <w:p>
            <w:r>
              <w:rPr>
                <w:rFonts w:ascii="Liberation Sans" w:hAnsi="Liberation Sans"/>
                <w:b/>
                <w:sz w:val="15"/>
              </w:rPr>
              <w:t>Self-coronation</w:t>
            </w:r>
          </w:p>
        </w:tc>
        <w:tc>
          <w:tcPr>
            <w:tcW w:type="dxa" w:w="3293"/>
          </w:tcPr>
          <w:p>
            <w:r>
              <w:rPr>
                <w:rFonts w:ascii="Liberation Sans" w:hAnsi="Liberation Sans"/>
                <w:b w:val="0"/>
                <w:sz w:val="15"/>
              </w:rPr>
              <w:t>Preparation is treated as evidence that the worker holds a unique office.</w:t>
            </w:r>
          </w:p>
        </w:tc>
        <w:tc>
          <w:tcPr>
            <w:tcW w:type="dxa" w:w="3293"/>
          </w:tcPr>
          <w:p>
            <w:r>
              <w:rPr>
                <w:rFonts w:ascii="Liberation Sans" w:hAnsi="Liberation Sans"/>
                <w:b w:val="0"/>
                <w:sz w:val="15"/>
              </w:rPr>
              <w:t>Require author-independent review and prohibit title from serving as proof.</w:t>
            </w:r>
          </w:p>
        </w:tc>
      </w:tr>
      <w:tr>
        <w:tc>
          <w:tcPr>
            <w:tcW w:type="dxa" w:w="3293"/>
            <w:shd w:fill="EAF1F5"/>
          </w:tcPr>
          <w:p>
            <w:r>
              <w:rPr>
                <w:rFonts w:ascii="Liberation Sans" w:hAnsi="Liberation Sans"/>
                <w:b/>
                <w:sz w:val="15"/>
              </w:rPr>
              <w:t>Prophetic certainty inflation</w:t>
            </w:r>
          </w:p>
        </w:tc>
        <w:tc>
          <w:tcPr>
            <w:tcW w:type="dxa" w:w="3293"/>
          </w:tcPr>
          <w:p>
            <w:r>
              <w:rPr>
                <w:rFonts w:ascii="Liberation Sans" w:hAnsi="Liberation Sans"/>
                <w:b w:val="0"/>
                <w:sz w:val="15"/>
              </w:rPr>
              <w:t>Urgency becomes a claimed timetable.</w:t>
            </w:r>
          </w:p>
        </w:tc>
        <w:tc>
          <w:tcPr>
            <w:tcW w:type="dxa" w:w="3293"/>
          </w:tcPr>
          <w:p>
            <w:r>
              <w:rPr>
                <w:rFonts w:ascii="Liberation Sans" w:hAnsi="Liberation Sans"/>
                <w:b w:val="0"/>
                <w:sz w:val="15"/>
              </w:rPr>
              <w:t>Maintain explicit uncertainty and separate belief from dated prediction.</w:t>
            </w:r>
          </w:p>
        </w:tc>
      </w:tr>
      <w:tr>
        <w:tc>
          <w:tcPr>
            <w:tcW w:type="dxa" w:w="3293"/>
            <w:shd w:fill="EAF1F5"/>
          </w:tcPr>
          <w:p>
            <w:r>
              <w:rPr>
                <w:rFonts w:ascii="Liberation Sans" w:hAnsi="Liberation Sans"/>
                <w:b/>
                <w:sz w:val="15"/>
              </w:rPr>
              <w:t>Archive hoarding</w:t>
            </w:r>
          </w:p>
        </w:tc>
        <w:tc>
          <w:tcPr>
            <w:tcW w:type="dxa" w:w="3293"/>
          </w:tcPr>
          <w:p>
            <w:r>
              <w:rPr>
                <w:rFonts w:ascii="Liberation Sans" w:hAnsi="Liberation Sans"/>
                <w:b w:val="0"/>
                <w:sz w:val="15"/>
              </w:rPr>
              <w:t>Custodianship becomes personal control of access.</w:t>
            </w:r>
          </w:p>
        </w:tc>
        <w:tc>
          <w:tcPr>
            <w:tcW w:type="dxa" w:w="3293"/>
          </w:tcPr>
          <w:p>
            <w:r>
              <w:rPr>
                <w:rFonts w:ascii="Liberation Sans" w:hAnsi="Liberation Sans"/>
                <w:b w:val="0"/>
                <w:sz w:val="15"/>
              </w:rPr>
              <w:t>Use independent review, succession, and documented release conditions.</w:t>
            </w:r>
          </w:p>
        </w:tc>
      </w:tr>
      <w:tr>
        <w:tc>
          <w:tcPr>
            <w:tcW w:type="dxa" w:w="3293"/>
            <w:shd w:fill="EAF1F5"/>
          </w:tcPr>
          <w:p>
            <w:r>
              <w:rPr>
                <w:rFonts w:ascii="Liberation Sans" w:hAnsi="Liberation Sans"/>
                <w:b/>
                <w:sz w:val="15"/>
              </w:rPr>
              <w:t>Janitorial censorship</w:t>
            </w:r>
          </w:p>
        </w:tc>
        <w:tc>
          <w:tcPr>
            <w:tcW w:type="dxa" w:w="3293"/>
          </w:tcPr>
          <w:p>
            <w:r>
              <w:rPr>
                <w:rFonts w:ascii="Liberation Sans" w:hAnsi="Liberation Sans"/>
                <w:b w:val="0"/>
                <w:sz w:val="15"/>
              </w:rPr>
              <w:t>Cleanup removes inconvenient evidence.</w:t>
            </w:r>
          </w:p>
        </w:tc>
        <w:tc>
          <w:tcPr>
            <w:tcW w:type="dxa" w:w="3293"/>
          </w:tcPr>
          <w:p>
            <w:r>
              <w:rPr>
                <w:rFonts w:ascii="Liberation Sans" w:hAnsi="Liberation Sans"/>
                <w:b w:val="0"/>
                <w:sz w:val="15"/>
              </w:rPr>
              <w:t>Preserve originals and log every exclusion, merge, or redaction.</w:t>
            </w:r>
          </w:p>
        </w:tc>
      </w:tr>
      <w:tr>
        <w:tc>
          <w:tcPr>
            <w:tcW w:type="dxa" w:w="3293"/>
            <w:shd w:fill="EAF1F5"/>
          </w:tcPr>
          <w:p>
            <w:r>
              <w:rPr>
                <w:rFonts w:ascii="Liberation Sans" w:hAnsi="Liberation Sans"/>
                <w:b/>
                <w:sz w:val="15"/>
              </w:rPr>
              <w:t>Red carpet as spectacle</w:t>
            </w:r>
          </w:p>
        </w:tc>
        <w:tc>
          <w:tcPr>
            <w:tcW w:type="dxa" w:w="3293"/>
          </w:tcPr>
          <w:p>
            <w:r>
              <w:rPr>
                <w:rFonts w:ascii="Liberation Sans" w:hAnsi="Liberation Sans"/>
                <w:b w:val="0"/>
                <w:sz w:val="15"/>
              </w:rPr>
              <w:t>The preparation attracts more attention than the intended path.</w:t>
            </w:r>
          </w:p>
        </w:tc>
        <w:tc>
          <w:tcPr>
            <w:tcW w:type="dxa" w:w="3293"/>
          </w:tcPr>
          <w:p>
            <w:r>
              <w:rPr>
                <w:rFonts w:ascii="Liberation Sans" w:hAnsi="Liberation Sans"/>
                <w:b w:val="0"/>
                <w:sz w:val="15"/>
              </w:rPr>
              <w:t>Measure success by usability, not attention to the custodian.</w:t>
            </w:r>
          </w:p>
        </w:tc>
      </w:tr>
      <w:tr>
        <w:tc>
          <w:tcPr>
            <w:tcW w:type="dxa" w:w="3293"/>
            <w:shd w:fill="EAF1F5"/>
          </w:tcPr>
          <w:p>
            <w:r>
              <w:rPr>
                <w:rFonts w:ascii="Liberation Sans" w:hAnsi="Liberation Sans"/>
                <w:b/>
                <w:sz w:val="15"/>
              </w:rPr>
              <w:t>Theological capture</w:t>
            </w:r>
          </w:p>
        </w:tc>
        <w:tc>
          <w:tcPr>
            <w:tcW w:type="dxa" w:w="3293"/>
          </w:tcPr>
          <w:p>
            <w:r>
              <w:rPr>
                <w:rFonts w:ascii="Liberation Sans" w:hAnsi="Liberation Sans"/>
                <w:b w:val="0"/>
                <w:sz w:val="15"/>
              </w:rPr>
              <w:t>Methods become inaccessible to non-believers.</w:t>
            </w:r>
          </w:p>
        </w:tc>
        <w:tc>
          <w:tcPr>
            <w:tcW w:type="dxa" w:w="3293"/>
          </w:tcPr>
          <w:p>
            <w:r>
              <w:rPr>
                <w:rFonts w:ascii="Liberation Sans" w:hAnsi="Liberation Sans"/>
                <w:b w:val="0"/>
                <w:sz w:val="15"/>
              </w:rPr>
              <w:t>Publish secularly testable versions and distinguish premise from procedure.</w:t>
            </w:r>
          </w:p>
        </w:tc>
      </w:tr>
      <w:tr>
        <w:tc>
          <w:tcPr>
            <w:tcW w:type="dxa" w:w="3293"/>
            <w:shd w:fill="EAF1F5"/>
          </w:tcPr>
          <w:p>
            <w:r>
              <w:rPr>
                <w:rFonts w:ascii="Liberation Sans" w:hAnsi="Liberation Sans"/>
                <w:b/>
                <w:sz w:val="15"/>
              </w:rPr>
              <w:t>Endless preparation</w:t>
            </w:r>
          </w:p>
        </w:tc>
        <w:tc>
          <w:tcPr>
            <w:tcW w:type="dxa" w:w="3293"/>
          </w:tcPr>
          <w:p>
            <w:r>
              <w:rPr>
                <w:rFonts w:ascii="Liberation Sans" w:hAnsi="Liberation Sans"/>
                <w:b w:val="0"/>
                <w:sz w:val="15"/>
              </w:rPr>
              <w:t>The worker never releases usable structure because cleanup is never complete.</w:t>
            </w:r>
          </w:p>
        </w:tc>
        <w:tc>
          <w:tcPr>
            <w:tcW w:type="dxa" w:w="3293"/>
          </w:tcPr>
          <w:p>
            <w:r>
              <w:rPr>
                <w:rFonts w:ascii="Liberation Sans" w:hAnsi="Liberation Sans"/>
                <w:b w:val="0"/>
                <w:sz w:val="15"/>
              </w:rPr>
              <w:t>Use versioned releases, stopping rules, and minimum viable pathways.</w:t>
            </w:r>
          </w:p>
        </w:tc>
      </w:tr>
    </w:tbl>
    <w:p>
      <w:pPr>
        <w:pStyle w:val="Heading1"/>
      </w:pPr>
      <w:r>
        <w:t>11. Falsification and Revision Conditions</w:t>
      </w:r>
    </w:p>
    <w:p>
      <w:pPr>
        <w:pStyle w:val="ListBullet"/>
        <w:spacing w:after="60"/>
      </w:pPr>
      <w:r>
        <w:t>The framework consistently increases personality-centered belief rather than independent evaluation.</w:t>
      </w:r>
    </w:p>
    <w:p>
      <w:pPr>
        <w:pStyle w:val="ListBullet"/>
        <w:spacing w:after="60"/>
      </w:pPr>
      <w:r>
        <w:t>Cleanup processes cause unrecoverable evidence loss.</w:t>
      </w:r>
    </w:p>
    <w:p>
      <w:pPr>
        <w:pStyle w:val="ListBullet"/>
        <w:spacing w:after="60"/>
      </w:pPr>
      <w:r>
        <w:t>The distinction between archivist and janitorial functions cannot be applied reliably.</w:t>
      </w:r>
    </w:p>
    <w:p>
      <w:pPr>
        <w:pStyle w:val="ListBullet"/>
        <w:spacing w:after="60"/>
      </w:pPr>
      <w:r>
        <w:t>The methods provide no benefit outside the originating theological assumption.</w:t>
      </w:r>
    </w:p>
    <w:p>
      <w:pPr>
        <w:pStyle w:val="ListBullet"/>
        <w:spacing w:after="60"/>
      </w:pPr>
      <w:r>
        <w:t>Independent reviewers cannot identify what would count against central claims.</w:t>
      </w:r>
    </w:p>
    <w:p>
      <w:pPr>
        <w:pStyle w:val="ListBullet"/>
        <w:spacing w:after="60"/>
      </w:pPr>
      <w:r>
        <w:t>The system becomes more dependent on the custodian over time rather than less.</w:t>
      </w:r>
    </w:p>
    <w:p>
      <w:pPr>
        <w:pStyle w:val="Heading1"/>
      </w:pPr>
      <w:r>
        <w:t>12. Limitations</w:t>
      </w:r>
    </w:p>
    <w:p>
      <w:pPr>
        <w:pStyle w:val="ListBullet"/>
        <w:spacing w:after="60"/>
      </w:pPr>
      <w:r>
        <w:t>The framework originates from a specific Christian theological thought experiment.</w:t>
      </w:r>
    </w:p>
    <w:p>
      <w:pPr>
        <w:pStyle w:val="ListBullet"/>
        <w:spacing w:after="60"/>
      </w:pPr>
      <w:r>
        <w:t>The metaphor of a red carpet may imply endorsement of an arrival that has not been established.</w:t>
      </w:r>
    </w:p>
    <w:p>
      <w:pPr>
        <w:pStyle w:val="ListBullet"/>
        <w:spacing w:after="60"/>
      </w:pPr>
      <w:r>
        <w:t>Preparation can create confirmation bias by making later events appear to fit a prebuilt route.</w:t>
      </w:r>
    </w:p>
    <w:p>
      <w:pPr>
        <w:pStyle w:val="ListBullet"/>
        <w:spacing w:after="60"/>
      </w:pPr>
      <w:r>
        <w:t>Religious recognition cannot be reduced to information architecture.</w:t>
      </w:r>
    </w:p>
    <w:p>
      <w:pPr>
        <w:pStyle w:val="ListBullet"/>
        <w:spacing w:after="60"/>
      </w:pPr>
      <w:r>
        <w:t>A clean and accessible archive does not guarantee correct interpretation.</w:t>
      </w:r>
    </w:p>
    <w:p>
      <w:pPr>
        <w:pStyle w:val="ListBullet"/>
        <w:spacing w:after="60"/>
      </w:pPr>
      <w:r>
        <w:t>Humility language can itself become a performance or protective identity.</w:t>
      </w:r>
    </w:p>
    <w:p>
      <w:pPr>
        <w:pStyle w:val="Heading1"/>
      </w:pPr>
      <w:r>
        <w:t>13. Conclusion</w:t>
      </w:r>
    </w:p>
    <w:p>
      <w:r>
        <w:t>The Red Carpet Mentality defines custodianship as preparation without possession. Its archivist function preserves what must not be lost. Its janitorial function removes what prevents access. Together they create a path that is structurally legible, historically recoverable, and less dependent on the person who prepared it.</w:t>
      </w:r>
    </w:p>
    <w:p>
      <w:r>
        <w:t>The framework's paradox is its safeguard: the custodian must care enough to prepare the path and remain humble enough not to confuse the path, the worker, or the archive with the event itself.</w:t>
      </w:r>
    </w:p>
    <w:p>
      <w:pPr>
        <w:spacing w:before="240"/>
        <w:jc w:val="center"/>
      </w:pPr>
      <w:r>
        <w:rPr>
          <w:b/>
          <w:i/>
          <w:color w:val="244B5A"/>
        </w:rPr>
        <w:t>Preserve the records. Repair the structure. Clear the path. Leave the keys where they can be found.</w:t>
      </w:r>
    </w:p>
    <w:p>
      <w:pPr>
        <w:pStyle w:val="Heading1"/>
      </w:pPr>
      <w:r>
        <w:t>Declarations</w:t>
      </w:r>
    </w:p>
    <w:p>
      <w:r>
        <w:t>Author contribution: Conceptualization and framework authorship attributed to Aziel Eliab; AI-assisted drafting and document production were used.</w:t>
      </w:r>
    </w:p>
    <w:p>
      <w:r>
        <w:t>Funding: No external funding declared.</w:t>
      </w:r>
    </w:p>
    <w:p>
      <w:r>
        <w:t>Competing interests: The author is the originator of the proposed framework.</w:t>
      </w:r>
    </w:p>
    <w:p>
      <w:r>
        <w:t>Data availability: No empirical dataset is analyzed.</w:t>
      </w:r>
    </w:p>
    <w:p>
      <w:r>
        <w:t>Peer-review status: Working paper prepared for external critique; not peer reviewed at time of preparation.</w:t>
      </w:r>
    </w:p>
    <w:p>
      <w:pPr>
        <w:pStyle w:val="Heading1"/>
      </w:pPr>
      <w:r>
        <w:t>Appendix A. Reviewer Questions</w:t>
      </w:r>
    </w:p>
    <w:p>
      <w:pPr>
        <w:pStyle w:val="ListBullet"/>
        <w:spacing w:after="60"/>
      </w:pPr>
      <w:r>
        <w:t>Is the Red Carpet Mentality distinct from existing philosophies of stewardship, ministry, archival ethics, or servant leadership?</w:t>
      </w:r>
    </w:p>
    <w:p>
      <w:pPr>
        <w:pStyle w:val="ListBullet"/>
        <w:spacing w:after="60"/>
      </w:pPr>
      <w:r>
        <w:t>Does the paradox of urgent preparation and epistemic restraint remain coherent in practice?</w:t>
      </w:r>
    </w:p>
    <w:p>
      <w:pPr>
        <w:pStyle w:val="ListBullet"/>
        <w:spacing w:after="60"/>
      </w:pPr>
      <w:r>
        <w:t>Can archivist and janitorial functions be assigned to separate reviewers to reduce conflict of interest?</w:t>
      </w:r>
    </w:p>
    <w:p>
      <w:pPr>
        <w:pStyle w:val="ListBullet"/>
        <w:spacing w:after="60"/>
      </w:pPr>
      <w:r>
        <w:t>What metrics best measure accessibility without rewarding oversimplification?</w:t>
      </w:r>
    </w:p>
    <w:p>
      <w:pPr>
        <w:pStyle w:val="ListBullet"/>
        <w:spacing w:after="60"/>
      </w:pPr>
      <w:r>
        <w:t>How should the framework distinguish necessary cleanup from censorship?</w:t>
      </w:r>
    </w:p>
    <w:p>
      <w:pPr>
        <w:pStyle w:val="ListBullet"/>
        <w:spacing w:after="60"/>
      </w:pPr>
      <w:r>
        <w:t>Does the framework remain useful when its theological premise is rejected?</w:t>
      </w:r>
    </w:p>
    <w:p>
      <w:pPr>
        <w:pStyle w:val="ListBullet"/>
        <w:spacing w:after="60"/>
      </w:pPr>
      <w:r>
        <w:t>What evidence would justify abandoning the framework?</w:t>
      </w:r>
    </w:p>
    <w:p>
      <w:pPr>
        <w:pStyle w:val="Heading1"/>
      </w:pPr>
      <w:r>
        <w:t>Appendix B. Custodial Audit Template</w:t>
      </w:r>
    </w:p>
    <w:tbl>
      <w:tblPr>
        <w:tblStyle w:val="TableGrid"/>
        <w:tblW w:type="auto" w:w="0"/>
        <w:tblLook w:firstColumn="1" w:firstRow="1" w:lastColumn="0" w:lastRow="0" w:noHBand="0" w:noVBand="1" w:val="04A0"/>
      </w:tblPr>
      <w:tblGrid>
        <w:gridCol w:w="4939"/>
        <w:gridCol w:w="4939"/>
      </w:tblGrid>
      <w:tr>
        <w:trPr>
          <w:trHeight w:val="576"/>
        </w:trPr>
        <w:tc>
          <w:tcPr>
            <w:tcW w:type="dxa" w:w="4939"/>
            <w:shd w:fill="EAF1F5"/>
          </w:tcPr>
          <w:p>
            <w:r>
              <w:rPr>
                <w:rFonts w:ascii="Liberation Sans" w:hAnsi="Liberation Sans"/>
                <w:b/>
                <w:sz w:val="17"/>
              </w:rPr>
              <w:t>Assumption or anticipated transition</w:t>
            </w:r>
          </w:p>
        </w:tc>
        <w:tc>
          <w:tcPr>
            <w:tcW w:type="dxa" w:w="4939"/>
          </w:tcPr>
          <w:p>
            <w:r/>
          </w:p>
        </w:tc>
      </w:tr>
      <w:tr>
        <w:trPr>
          <w:trHeight w:val="576"/>
        </w:trPr>
        <w:tc>
          <w:tcPr>
            <w:tcW w:type="dxa" w:w="4939"/>
            <w:shd w:fill="EAF1F5"/>
          </w:tcPr>
          <w:p>
            <w:r>
              <w:rPr>
                <w:rFonts w:ascii="Liberation Sans" w:hAnsi="Liberation Sans"/>
                <w:b/>
                <w:sz w:val="17"/>
              </w:rPr>
              <w:t>Preserved primary records</w:t>
            </w:r>
          </w:p>
        </w:tc>
        <w:tc>
          <w:tcPr>
            <w:tcW w:type="dxa" w:w="4939"/>
          </w:tcPr>
          <w:p>
            <w:r/>
          </w:p>
        </w:tc>
      </w:tr>
      <w:tr>
        <w:trPr>
          <w:trHeight w:val="576"/>
        </w:trPr>
        <w:tc>
          <w:tcPr>
            <w:tcW w:type="dxa" w:w="4939"/>
            <w:shd w:fill="EAF1F5"/>
          </w:tcPr>
          <w:p>
            <w:r>
              <w:rPr>
                <w:rFonts w:ascii="Liberation Sans" w:hAnsi="Liberation Sans"/>
                <w:b/>
                <w:sz w:val="17"/>
              </w:rPr>
              <w:t>Provenance and version controls</w:t>
            </w:r>
          </w:p>
        </w:tc>
        <w:tc>
          <w:tcPr>
            <w:tcW w:type="dxa" w:w="4939"/>
          </w:tcPr>
          <w:p>
            <w:r/>
          </w:p>
        </w:tc>
      </w:tr>
      <w:tr>
        <w:trPr>
          <w:trHeight w:val="576"/>
        </w:trPr>
        <w:tc>
          <w:tcPr>
            <w:tcW w:type="dxa" w:w="4939"/>
            <w:shd w:fill="EAF1F5"/>
          </w:tcPr>
          <w:p>
            <w:r>
              <w:rPr>
                <w:rFonts w:ascii="Liberation Sans" w:hAnsi="Liberation Sans"/>
                <w:b/>
                <w:sz w:val="17"/>
              </w:rPr>
              <w:t>Load-bearing structural claims</w:t>
            </w:r>
          </w:p>
        </w:tc>
        <w:tc>
          <w:tcPr>
            <w:tcW w:type="dxa" w:w="4939"/>
          </w:tcPr>
          <w:p>
            <w:r/>
          </w:p>
        </w:tc>
      </w:tr>
      <w:tr>
        <w:trPr>
          <w:trHeight w:val="576"/>
        </w:trPr>
        <w:tc>
          <w:tcPr>
            <w:tcW w:type="dxa" w:w="4939"/>
            <w:shd w:fill="EAF1F5"/>
          </w:tcPr>
          <w:p>
            <w:r>
              <w:rPr>
                <w:rFonts w:ascii="Liberation Sans" w:hAnsi="Liberation Sans"/>
                <w:b/>
                <w:sz w:val="17"/>
              </w:rPr>
              <w:t>Narrative or interpretive windows</w:t>
            </w:r>
          </w:p>
        </w:tc>
        <w:tc>
          <w:tcPr>
            <w:tcW w:type="dxa" w:w="4939"/>
          </w:tcPr>
          <w:p>
            <w:r/>
          </w:p>
        </w:tc>
      </w:tr>
      <w:tr>
        <w:trPr>
          <w:trHeight w:val="576"/>
        </w:trPr>
        <w:tc>
          <w:tcPr>
            <w:tcW w:type="dxa" w:w="4939"/>
            <w:shd w:fill="EAF1F5"/>
          </w:tcPr>
          <w:p>
            <w:r>
              <w:rPr>
                <w:rFonts w:ascii="Liberation Sans" w:hAnsi="Liberation Sans"/>
                <w:b/>
                <w:sz w:val="17"/>
              </w:rPr>
              <w:t>Duplicate, obstructive, or contaminated material</w:t>
            </w:r>
          </w:p>
        </w:tc>
        <w:tc>
          <w:tcPr>
            <w:tcW w:type="dxa" w:w="4939"/>
          </w:tcPr>
          <w:p>
            <w:r/>
          </w:p>
        </w:tc>
      </w:tr>
      <w:tr>
        <w:trPr>
          <w:trHeight w:val="576"/>
        </w:trPr>
        <w:tc>
          <w:tcPr>
            <w:tcW w:type="dxa" w:w="4939"/>
            <w:shd w:fill="EAF1F5"/>
          </w:tcPr>
          <w:p>
            <w:r>
              <w:rPr>
                <w:rFonts w:ascii="Liberation Sans" w:hAnsi="Liberation Sans"/>
                <w:b/>
                <w:sz w:val="17"/>
              </w:rPr>
              <w:t>Cleanup actions and recovery locations</w:t>
            </w:r>
          </w:p>
        </w:tc>
        <w:tc>
          <w:tcPr>
            <w:tcW w:type="dxa" w:w="4939"/>
          </w:tcPr>
          <w:p>
            <w:r/>
          </w:p>
        </w:tc>
      </w:tr>
      <w:tr>
        <w:trPr>
          <w:trHeight w:val="576"/>
        </w:trPr>
        <w:tc>
          <w:tcPr>
            <w:tcW w:type="dxa" w:w="4939"/>
            <w:shd w:fill="EAF1F5"/>
          </w:tcPr>
          <w:p>
            <w:r>
              <w:rPr>
                <w:rFonts w:ascii="Liberation Sans" w:hAnsi="Liberation Sans"/>
                <w:b/>
                <w:sz w:val="17"/>
              </w:rPr>
              <w:t>Uncertainty and falsification conditions</w:t>
            </w:r>
          </w:p>
        </w:tc>
        <w:tc>
          <w:tcPr>
            <w:tcW w:type="dxa" w:w="4939"/>
          </w:tcPr>
          <w:p>
            <w:r/>
          </w:p>
        </w:tc>
      </w:tr>
      <w:tr>
        <w:trPr>
          <w:trHeight w:val="576"/>
        </w:trPr>
        <w:tc>
          <w:tcPr>
            <w:tcW w:type="dxa" w:w="4939"/>
            <w:shd w:fill="EAF1F5"/>
          </w:tcPr>
          <w:p>
            <w:r>
              <w:rPr>
                <w:rFonts w:ascii="Liberation Sans" w:hAnsi="Liberation Sans"/>
                <w:b/>
                <w:sz w:val="17"/>
              </w:rPr>
              <w:t>Succession and transfer plan</w:t>
            </w:r>
          </w:p>
        </w:tc>
        <w:tc>
          <w:tcPr>
            <w:tcW w:type="dxa" w:w="4939"/>
          </w:tcPr>
          <w:p>
            <w:r/>
          </w:p>
        </w:tc>
      </w:tr>
      <w:tr>
        <w:trPr>
          <w:trHeight w:val="576"/>
        </w:trPr>
        <w:tc>
          <w:tcPr>
            <w:tcW w:type="dxa" w:w="4939"/>
            <w:shd w:fill="EAF1F5"/>
          </w:tcPr>
          <w:p>
            <w:r>
              <w:rPr>
                <w:rFonts w:ascii="Liberation Sans" w:hAnsi="Liberation Sans"/>
                <w:b/>
                <w:sz w:val="17"/>
              </w:rPr>
              <w:t>Evidence that the custodian is becoming less central</w:t>
            </w:r>
          </w:p>
        </w:tc>
        <w:tc>
          <w:tcPr>
            <w:tcW w:type="dxa" w:w="4939"/>
          </w:tcPr>
          <w:p>
            <w:r/>
          </w:p>
        </w:tc>
      </w:tr>
    </w:tbl>
    <w:sectPr w:rsidR="00FC693F" w:rsidRPr="0006063C" w:rsidSect="00034616">
      <w:headerReference w:type="default" r:id="rId9"/>
      <w:footerReference w:type="default" r:id="rId10"/>
      <w:pgSz w:w="12240" w:h="15840"/>
      <w:pgMar w:top="1037" w:right="1181" w:bottom="1037" w:left="118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color w:val="64748B"/>
        <w:sz w:val="15"/>
      </w:rPr>
      <w:t>THE RED CARPET MENTALITY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4" w:lineRule="auto"/>
    </w:pPr>
    <w:rPr>
      <w:rFonts w:ascii="Liberation Serif" w:hAnsi="Liberation Seri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Liberation Sans" w:hAnsi="Liberation Sans"/>
      <w:b/>
      <w:bCs/>
      <w:color w:val="17324D"/>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Liberation Sans" w:hAnsi="Liberation Sans"/>
      <w:b/>
      <w:bCs/>
      <w:color w:val="2F5D7C"/>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b/>
      <w:color w:val="17324D"/>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ans" w:hAnsi="Liberation Sans"/>
      <w:b w:val="0"/>
      <w:i/>
      <w:iCs/>
      <w:color w:val="52606D"/>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Red Carpet Mentality</dc:title>
  <dc:subject>Custodianship as archivist and janitorial function</dc:subject>
  <dc:creator>Aziel Eliab</dc:creator>
  <cp:keywords/>
  <dc:description>generated by python-docx</dc:description>
  <cp:lastModifiedBy/>
  <cp:revision>1</cp:revision>
  <dcterms:created xsi:type="dcterms:W3CDTF">2013-12-23T23:15:00Z</dcterms:created>
  <dcterms:modified xsi:type="dcterms:W3CDTF">2013-12-23T23:15:00Z</dcterms:modified>
  <cp:category/>
</cp:coreProperties>
</file>